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8E" w:rsidRPr="001049F4" w:rsidRDefault="00FC7E8E">
      <w:pPr>
        <w:contextualSpacing/>
        <w:rPr>
          <w:rFonts w:asciiTheme="minorHAnsi" w:hAnsiTheme="minorHAnsi" w:cstheme="minorHAnsi"/>
          <w:b/>
        </w:rPr>
      </w:pPr>
      <w:r w:rsidRPr="001049F4">
        <w:rPr>
          <w:rFonts w:asciiTheme="minorHAnsi" w:hAnsiTheme="minorHAnsi" w:cstheme="minorHAnsi"/>
          <w:b/>
        </w:rPr>
        <w:t>COMMUNICAT</w:t>
      </w:r>
      <w:r w:rsidR="00623129" w:rsidRPr="001049F4">
        <w:rPr>
          <w:rFonts w:asciiTheme="minorHAnsi" w:hAnsiTheme="minorHAnsi" w:cstheme="minorHAnsi"/>
          <w:b/>
        </w:rPr>
        <w:t>ION BETWEEN DG TRAD AND</w:t>
      </w:r>
      <w:r w:rsidRPr="001049F4">
        <w:rPr>
          <w:rFonts w:asciiTheme="minorHAnsi" w:hAnsiTheme="minorHAnsi" w:cstheme="minorHAnsi"/>
          <w:b/>
        </w:rPr>
        <w:t xml:space="preserve"> EXTERNAL CONTRACTORS</w:t>
      </w:r>
    </w:p>
    <w:tbl>
      <w:tblPr>
        <w:tblStyle w:val="TableGrid"/>
        <w:tblpPr w:leftFromText="180" w:rightFromText="180" w:vertAnchor="page" w:horzAnchor="margin" w:tblpY="1306"/>
        <w:tblW w:w="15593" w:type="dxa"/>
        <w:tblLook w:val="04A0" w:firstRow="1" w:lastRow="0" w:firstColumn="1" w:lastColumn="0" w:noHBand="0" w:noVBand="1"/>
      </w:tblPr>
      <w:tblGrid>
        <w:gridCol w:w="5812"/>
        <w:gridCol w:w="2665"/>
        <w:gridCol w:w="7116"/>
      </w:tblGrid>
      <w:tr w:rsidR="00A97B71" w:rsidRPr="001049F4" w:rsidTr="001049F4">
        <w:trPr>
          <w:trHeight w:val="439"/>
        </w:trPr>
        <w:tc>
          <w:tcPr>
            <w:tcW w:w="5812" w:type="dxa"/>
            <w:vMerge w:val="restart"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via ETU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(ETU functional group mailbox for the job</w:t>
            </w:r>
            <w:r w:rsidR="006231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(e.g. </w:t>
            </w:r>
            <w:hyperlink r:id="rId8" w:history="1">
              <w:r w:rsidR="00AB1729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dgtrad.etu-a-group@europarl.europa.eu</w:t>
              </w:r>
            </w:hyperlink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</w:t>
            </w:r>
            <w:hyperlink r:id="rId9" w:history="1">
              <w:r w:rsidR="00AB1729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dgtrad.etu-b-group@europarl.europa.eu</w:t>
              </w:r>
            </w:hyperlink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etc.) </w:t>
            </w:r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with</w:t>
            </w:r>
            <w:r w:rsidR="006231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copy to </w:t>
            </w:r>
            <w:hyperlink r:id="rId10" w:history="1">
              <w:r w:rsidR="001049F4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dgtrad.etuplacementcoordination@europarl.europa.eu</w:t>
              </w:r>
            </w:hyperlink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except for RFIs where </w:t>
            </w:r>
            <w:hyperlink r:id="rId11" w:history="1">
              <w:r w:rsidR="003E7754" w:rsidRPr="001049F4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dgtrad.etucontractsexecution@europarl.europa.eu</w:t>
              </w:r>
            </w:hyperlink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is the 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>primary</w:t>
            </w:r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addressee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Deadlines and extensions of deadlines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difficulty to deliver on time</w:t>
            </w:r>
          </w:p>
        </w:tc>
      </w:tr>
      <w:tr w:rsidR="00A97B71" w:rsidRPr="001049F4" w:rsidTr="001049F4">
        <w:trPr>
          <w:trHeight w:val="677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Technical issues</w:t>
            </w:r>
          </w:p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pre-translation package incomplete</w:t>
            </w:r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 xml:space="preserve"> </w:t>
            </w:r>
          </w:p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>e.g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 xml:space="preserve">. format for </w:t>
            </w: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>delivery</w:t>
            </w:r>
            <w:proofErr w:type="spellEnd"/>
          </w:p>
        </w:tc>
      </w:tr>
      <w:tr w:rsidR="00A97B71" w:rsidRPr="001049F4" w:rsidTr="001049F4">
        <w:trPr>
          <w:trHeight w:val="380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Reference documents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reference documents seem to be missing </w:t>
            </w:r>
          </w:p>
        </w:tc>
      </w:tr>
      <w:tr w:rsidR="00A97B71" w:rsidRPr="001049F4" w:rsidTr="001049F4">
        <w:trPr>
          <w:trHeight w:val="696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FdR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-specific instructions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there are conflicting </w:t>
            </w: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FdR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-specific questions applicable to all target languages </w:t>
            </w:r>
          </w:p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what is to be translated and what not</w:t>
            </w:r>
          </w:p>
        </w:tc>
      </w:tr>
      <w:tr w:rsidR="00A97B71" w:rsidRPr="001049F4" w:rsidTr="001049F4">
        <w:trPr>
          <w:trHeight w:val="666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Quality of originals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reporting a mistake or incomplete sentence in the original</w:t>
            </w:r>
          </w:p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asking for clarification for abbreviation used in the original</w:t>
            </w:r>
          </w:p>
        </w:tc>
      </w:tr>
      <w:tr w:rsidR="00A97B71" w:rsidRPr="001049F4" w:rsidTr="001049F4">
        <w:trPr>
          <w:trHeight w:val="647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Requests for information </w:t>
            </w:r>
            <w:r w:rsidR="004F35C0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(RFI)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about quality evaluation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RFI template to be completed by contractor and provided by deadline</w:t>
            </w:r>
          </w:p>
        </w:tc>
      </w:tr>
      <w:tr w:rsidR="00A97B71" w:rsidRPr="001049F4" w:rsidTr="001049F4">
        <w:trPr>
          <w:trHeight w:val="512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Cancel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&amp;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Replace-related issues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informing contractors that translation is cancelled and whether or not to keep translating cancelled translation</w:t>
            </w:r>
          </w:p>
        </w:tc>
      </w:tr>
      <w:tr w:rsidR="00A97B71" w:rsidRPr="001049F4" w:rsidTr="001049F4">
        <w:trPr>
          <w:trHeight w:val="512"/>
        </w:trPr>
        <w:tc>
          <w:tcPr>
            <w:tcW w:w="5812" w:type="dxa"/>
            <w:vMerge/>
          </w:tcPr>
          <w:p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“Borderline” cases</w:t>
            </w:r>
          </w:p>
        </w:tc>
        <w:tc>
          <w:tcPr>
            <w:tcW w:w="7116" w:type="dxa"/>
          </w:tcPr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cases where there is doubt whom to contact</w:t>
            </w:r>
          </w:p>
          <w:p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A6030" w:rsidRPr="005A6030" w:rsidTr="001049F4">
        <w:trPr>
          <w:trHeight w:val="512"/>
        </w:trPr>
        <w:tc>
          <w:tcPr>
            <w:tcW w:w="5812" w:type="dxa"/>
          </w:tcPr>
          <w:p w:rsidR="00835303" w:rsidRPr="005A6030" w:rsidRDefault="00D122DF" w:rsidP="00D122DF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via ETU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(functional group mailbox for the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Contract Execution team)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hyperlink r:id="rId12" w:history="1">
              <w:r w:rsidR="00835303" w:rsidRPr="00D122DF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dgtrad.etucontractsexecution@europarl.europa.eu</w:t>
              </w:r>
            </w:hyperlink>
          </w:p>
        </w:tc>
        <w:tc>
          <w:tcPr>
            <w:tcW w:w="2665" w:type="dxa"/>
          </w:tcPr>
          <w:p w:rsidR="00835303" w:rsidRPr="005A6030" w:rsidRDefault="00835303" w:rsidP="001049F4">
            <w:pPr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5A6030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Change of legal status/postal address/bank details</w:t>
            </w:r>
          </w:p>
        </w:tc>
        <w:tc>
          <w:tcPr>
            <w:tcW w:w="7116" w:type="dxa"/>
          </w:tcPr>
          <w:p w:rsidR="00835303" w:rsidRPr="00D122DF" w:rsidRDefault="00835303" w:rsidP="003E3957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In case of any change to the legal entity and/or the bank account, please provide the new Financial Identification Form, duly </w:t>
            </w:r>
            <w:proofErr w:type="gramStart"/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completed,</w:t>
            </w:r>
            <w:proofErr w:type="gramEnd"/>
            <w:r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together with the appropriate documentation (</w:t>
            </w:r>
            <w:r w:rsidR="003E3957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lease see the updated </w:t>
            </w:r>
            <w:r w:rsidR="005A6030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Financial Identification Form and the 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instructions</w:t>
            </w:r>
            <w:r w:rsidR="0000427B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in Section 3.5</w:t>
            </w:r>
            <w:r w:rsidR="00983682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of the user portal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3E395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 w:rsidR="001049F4" w:rsidRPr="001049F4" w:rsidTr="001049F4">
        <w:trPr>
          <w:trHeight w:val="420"/>
        </w:trPr>
        <w:tc>
          <w:tcPr>
            <w:tcW w:w="5812" w:type="dxa"/>
            <w:vMerge w:val="restart"/>
          </w:tcPr>
          <w:p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Direct 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from contractor to LU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(DG TRAD Moodle or email to </w:t>
            </w:r>
            <w:proofErr w:type="spellStart"/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ExtTraCoord</w:t>
            </w:r>
            <w:proofErr w:type="spellEnd"/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for all target languages)</w:t>
            </w:r>
          </w:p>
        </w:tc>
        <w:tc>
          <w:tcPr>
            <w:tcW w:w="2665" w:type="dxa"/>
          </w:tcPr>
          <w:p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Language-specific resources</w:t>
            </w:r>
          </w:p>
        </w:tc>
        <w:tc>
          <w:tcPr>
            <w:tcW w:w="7116" w:type="dxa"/>
          </w:tcPr>
          <w:p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asking which guidelines prevail in case of multiple references</w:t>
            </w:r>
          </w:p>
        </w:tc>
      </w:tr>
      <w:tr w:rsidR="001049F4" w:rsidRPr="001049F4" w:rsidTr="001049F4">
        <w:tc>
          <w:tcPr>
            <w:tcW w:w="5812" w:type="dxa"/>
            <w:vMerge/>
          </w:tcPr>
          <w:p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2665" w:type="dxa"/>
          </w:tcPr>
          <w:p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Clarifications regarding the application and use of language-specific resources</w:t>
            </w:r>
          </w:p>
        </w:tc>
        <w:tc>
          <w:tcPr>
            <w:tcW w:w="7116" w:type="dxa"/>
          </w:tcPr>
          <w:p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clarification on how to mark amendments if there is a mistake in the Commission text</w:t>
            </w:r>
          </w:p>
          <w:p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when to use EUR and when euro</w:t>
            </w:r>
          </w:p>
          <w:p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request for advice on language use and/or terminology in the target language</w:t>
            </w:r>
          </w:p>
        </w:tc>
      </w:tr>
      <w:tr w:rsidR="001049F4" w:rsidRPr="001049F4" w:rsidTr="001049F4">
        <w:tc>
          <w:tcPr>
            <w:tcW w:w="5812" w:type="dxa"/>
            <w:vMerge/>
          </w:tcPr>
          <w:p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2665" w:type="dxa"/>
          </w:tcPr>
          <w:p w:rsidR="001049F4" w:rsidRPr="001049F4" w:rsidRDefault="005C7AE3" w:rsidP="005C7AE3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Translation comments relative to quality of the original</w:t>
            </w:r>
          </w:p>
        </w:tc>
        <w:tc>
          <w:tcPr>
            <w:tcW w:w="7116" w:type="dxa"/>
          </w:tcPr>
          <w:p w:rsidR="001049F4" w:rsidRPr="001049F4" w:rsidRDefault="001049F4" w:rsidP="005C7AE3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if no reply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 was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received from DG TRAD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>concerning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the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>quality of the original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, providing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any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comments on the translation in a separate file zipped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together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with the translation</w:t>
            </w:r>
          </w:p>
        </w:tc>
      </w:tr>
      <w:tr w:rsidR="00F77DC8" w:rsidRPr="001049F4" w:rsidTr="001049F4">
        <w:tc>
          <w:tcPr>
            <w:tcW w:w="5812" w:type="dxa"/>
            <w:vMerge w:val="restart"/>
          </w:tcPr>
          <w:p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Direct 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from LU to contractor</w:t>
            </w:r>
            <w:r w:rsidR="00841811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(DG TRAD Moodle</w:t>
            </w:r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or email from </w:t>
            </w:r>
            <w:proofErr w:type="spellStart"/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ExtTraCoord</w:t>
            </w:r>
            <w:proofErr w:type="spellEnd"/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for all target languages</w:t>
            </w:r>
            <w:r w:rsidR="00841811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5" w:type="dxa"/>
          </w:tcPr>
          <w:p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Language-specific resources</w:t>
            </w:r>
          </w:p>
        </w:tc>
        <w:tc>
          <w:tcPr>
            <w:tcW w:w="7116" w:type="dxa"/>
          </w:tcPr>
          <w:p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LU guidelines, glossaries, links, reference documents, newsletters, other resources</w:t>
            </w:r>
            <w:r w:rsidR="00841811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that contractors should use for translation of EP documents</w:t>
            </w:r>
          </w:p>
        </w:tc>
      </w:tr>
      <w:tr w:rsidR="00F77DC8" w:rsidRPr="001049F4" w:rsidTr="001049F4">
        <w:tc>
          <w:tcPr>
            <w:tcW w:w="5812" w:type="dxa"/>
            <w:vMerge/>
          </w:tcPr>
          <w:p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Announcements to draw attention to specific issues</w:t>
            </w:r>
          </w:p>
        </w:tc>
        <w:tc>
          <w:tcPr>
            <w:tcW w:w="7116" w:type="dxa"/>
          </w:tcPr>
          <w:p w:rsidR="00F77DC8" w:rsidRPr="001049F4" w:rsidRDefault="0084181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</w:t>
            </w:r>
            <w:r w:rsidR="005277BC" w:rsidRPr="001049F4">
              <w:rPr>
                <w:rFonts w:asciiTheme="minorHAnsi" w:hAnsiTheme="minorHAnsi" w:cstheme="minorHAnsi"/>
                <w:sz w:val="21"/>
                <w:szCs w:val="21"/>
              </w:rPr>
              <w:t>My House of European History is not to be translated into target language, but left in English</w:t>
            </w:r>
          </w:p>
          <w:p w:rsidR="005277BC" w:rsidRPr="001049F4" w:rsidRDefault="005277BC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new glossary added to resources section</w:t>
            </w:r>
          </w:p>
        </w:tc>
      </w:tr>
      <w:tr w:rsidR="00F77DC8" w:rsidRPr="001049F4" w:rsidTr="001049F4">
        <w:tc>
          <w:tcPr>
            <w:tcW w:w="5812" w:type="dxa"/>
            <w:vMerge/>
          </w:tcPr>
          <w:p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Feedback on common errors</w:t>
            </w:r>
          </w:p>
        </w:tc>
        <w:tc>
          <w:tcPr>
            <w:tcW w:w="7116" w:type="dxa"/>
          </w:tcPr>
          <w:p w:rsidR="00F77DC8" w:rsidRPr="001049F4" w:rsidRDefault="0084181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information on specific recurring errors</w:t>
            </w:r>
          </w:p>
        </w:tc>
      </w:tr>
    </w:tbl>
    <w:p w:rsidR="008765BE" w:rsidRPr="001049F4" w:rsidRDefault="008765BE" w:rsidP="001049F4"/>
    <w:sectPr w:rsidR="008765BE" w:rsidRPr="001049F4" w:rsidSect="005A6030">
      <w:footerReference w:type="default" r:id="rId13"/>
      <w:pgSz w:w="16838" w:h="11906" w:orient="landscape"/>
      <w:pgMar w:top="567" w:right="720" w:bottom="567" w:left="72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E5" w:rsidRDefault="00067EE5" w:rsidP="00BA5D66">
      <w:r>
        <w:separator/>
      </w:r>
    </w:p>
  </w:endnote>
  <w:endnote w:type="continuationSeparator" w:id="0">
    <w:p w:rsidR="00067EE5" w:rsidRDefault="00067EE5" w:rsidP="00B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66" w:rsidRPr="005A6030" w:rsidRDefault="00835303">
    <w:pPr>
      <w:pStyle w:val="Footer"/>
      <w:rPr>
        <w:rFonts w:asciiTheme="minorHAnsi" w:hAnsiTheme="minorHAnsi" w:cstheme="minorHAnsi"/>
        <w:sz w:val="20"/>
        <w:szCs w:val="20"/>
      </w:rPr>
    </w:pPr>
    <w:r w:rsidRPr="005A6030">
      <w:rPr>
        <w:rFonts w:asciiTheme="minorHAnsi" w:hAnsiTheme="minorHAnsi" w:cstheme="minorHAnsi"/>
        <w:sz w:val="20"/>
        <w:szCs w:val="20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E5" w:rsidRDefault="00067EE5" w:rsidP="00BA5D66">
      <w:r>
        <w:separator/>
      </w:r>
    </w:p>
  </w:footnote>
  <w:footnote w:type="continuationSeparator" w:id="0">
    <w:p w:rsidR="00067EE5" w:rsidRDefault="00067EE5" w:rsidP="00B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D60C8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B9"/>
    <w:rsid w:val="0000427B"/>
    <w:rsid w:val="00032980"/>
    <w:rsid w:val="00067EE5"/>
    <w:rsid w:val="000E4C53"/>
    <w:rsid w:val="001049F4"/>
    <w:rsid w:val="00111157"/>
    <w:rsid w:val="001605CF"/>
    <w:rsid w:val="00295B35"/>
    <w:rsid w:val="002A74DD"/>
    <w:rsid w:val="003914C8"/>
    <w:rsid w:val="003E3957"/>
    <w:rsid w:val="003E7754"/>
    <w:rsid w:val="00426625"/>
    <w:rsid w:val="00436848"/>
    <w:rsid w:val="004956BD"/>
    <w:rsid w:val="004B732D"/>
    <w:rsid w:val="004F35C0"/>
    <w:rsid w:val="005277BC"/>
    <w:rsid w:val="00557955"/>
    <w:rsid w:val="005762E3"/>
    <w:rsid w:val="005A6030"/>
    <w:rsid w:val="005C7AE3"/>
    <w:rsid w:val="00623129"/>
    <w:rsid w:val="006E3705"/>
    <w:rsid w:val="006F22B9"/>
    <w:rsid w:val="00737BF1"/>
    <w:rsid w:val="00752142"/>
    <w:rsid w:val="00790A70"/>
    <w:rsid w:val="00835303"/>
    <w:rsid w:val="00841811"/>
    <w:rsid w:val="00847970"/>
    <w:rsid w:val="008765BE"/>
    <w:rsid w:val="0091162C"/>
    <w:rsid w:val="009250BC"/>
    <w:rsid w:val="00931CE2"/>
    <w:rsid w:val="00983682"/>
    <w:rsid w:val="00A75CF3"/>
    <w:rsid w:val="00A97B71"/>
    <w:rsid w:val="00AB1729"/>
    <w:rsid w:val="00AD2634"/>
    <w:rsid w:val="00B01D4B"/>
    <w:rsid w:val="00B131F5"/>
    <w:rsid w:val="00B21478"/>
    <w:rsid w:val="00BA5D66"/>
    <w:rsid w:val="00C15039"/>
    <w:rsid w:val="00C427B8"/>
    <w:rsid w:val="00C9380E"/>
    <w:rsid w:val="00D122DF"/>
    <w:rsid w:val="00D37BF7"/>
    <w:rsid w:val="00D80930"/>
    <w:rsid w:val="00E75E90"/>
    <w:rsid w:val="00F77DC8"/>
    <w:rsid w:val="00FC7E8E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AFAC78"/>
  <w15:chartTrackingRefBased/>
  <w15:docId w15:val="{8FE5F594-C28E-43BD-A2F2-5C64B603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8E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8E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8E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E8E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E8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E8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E8E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E8E"/>
    <w:pPr>
      <w:spacing w:before="240" w:after="60"/>
      <w:outlineLvl w:val="6"/>
    </w:pPr>
    <w:rPr>
      <w:rFonts w:ascii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E8E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E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E8E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E8E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E8E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E8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E8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E8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E8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E8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E8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C7E8E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7E8E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8E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FC7E8E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C7E8E"/>
    <w:rPr>
      <w:b/>
      <w:bCs/>
    </w:rPr>
  </w:style>
  <w:style w:type="character" w:styleId="Emphasis">
    <w:name w:val="Emphasis"/>
    <w:basedOn w:val="DefaultParagraphFont"/>
    <w:uiPriority w:val="20"/>
    <w:qFormat/>
    <w:rsid w:val="00FC7E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7E8E"/>
    <w:rPr>
      <w:szCs w:val="32"/>
    </w:rPr>
  </w:style>
  <w:style w:type="paragraph" w:styleId="ListParagraph">
    <w:name w:val="List Paragraph"/>
    <w:basedOn w:val="Normal"/>
    <w:uiPriority w:val="34"/>
    <w:qFormat/>
    <w:rsid w:val="00FC7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E8E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FC7E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E8E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E8E"/>
    <w:rPr>
      <w:b/>
      <w:i/>
      <w:sz w:val="24"/>
    </w:rPr>
  </w:style>
  <w:style w:type="character" w:styleId="SubtleEmphasis">
    <w:name w:val="Subtle Emphasis"/>
    <w:uiPriority w:val="19"/>
    <w:qFormat/>
    <w:rsid w:val="00FC7E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7E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7E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7E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7E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E8E"/>
    <w:pPr>
      <w:outlineLvl w:val="9"/>
    </w:pPr>
  </w:style>
  <w:style w:type="table" w:styleId="TableGrid">
    <w:name w:val="Table Grid"/>
    <w:basedOn w:val="TableNormal"/>
    <w:uiPriority w:val="39"/>
    <w:rsid w:val="006F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rsid w:val="00FC7E8E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5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6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6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etu-a-group@europarl.europa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trad.etucontractsexecution@europarl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trad.etucontractsexecution@europarl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gtrad.etuplacementcoordination@europarl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trad.etu-b-group@europarl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6BF9-C11F-4F74-B575-CCE0204A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VAASA Angelika</dc:creator>
  <cp:keywords/>
  <dc:description/>
  <cp:lastModifiedBy>DIMOVA Evelina</cp:lastModifiedBy>
  <cp:revision>7</cp:revision>
  <cp:lastPrinted>2024-11-19T11:10:00Z</cp:lastPrinted>
  <dcterms:created xsi:type="dcterms:W3CDTF">2025-02-13T13:45:00Z</dcterms:created>
  <dcterms:modified xsi:type="dcterms:W3CDTF">2025-03-03T10:22:00Z</dcterms:modified>
</cp:coreProperties>
</file>